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1D864" w14:textId="77777777" w:rsidR="00893F86" w:rsidRDefault="00000000">
      <w:pPr>
        <w:spacing w:after="80"/>
        <w:jc w:val="center"/>
      </w:pPr>
      <w:r>
        <w:rPr>
          <w:b/>
          <w:bCs/>
          <w:color w:val="1F4E79"/>
          <w:sz w:val="32"/>
          <w:szCs w:val="32"/>
        </w:rPr>
        <w:t>Biofilm Disruption Redefined: Science, Strategy, and Clinical Integration</w:t>
      </w:r>
    </w:p>
    <w:p w14:paraId="78473E47" w14:textId="77777777" w:rsidR="00893F86" w:rsidRDefault="00000000">
      <w:pPr>
        <w:spacing w:after="320"/>
        <w:jc w:val="center"/>
      </w:pPr>
      <w:r>
        <w:rPr>
          <w:b/>
          <w:bCs/>
          <w:color w:val="222222"/>
          <w:sz w:val="22"/>
          <w:szCs w:val="22"/>
        </w:rPr>
        <w:t>6 CE Hours</w:t>
      </w:r>
    </w:p>
    <w:p w14:paraId="602D34B5" w14:textId="77777777" w:rsidR="00893F86" w:rsidRDefault="00000000">
      <w:pPr>
        <w:pStyle w:val="Heading1"/>
        <w:spacing w:before="300" w:after="160"/>
      </w:pPr>
      <w:r>
        <w:rPr>
          <w:b/>
          <w:bCs/>
          <w:color w:val="1F4E79"/>
          <w:sz w:val="26"/>
          <w:szCs w:val="26"/>
        </w:rPr>
        <w:t>Course Description</w:t>
      </w:r>
    </w:p>
    <w:p w14:paraId="414BFAF7" w14:textId="77777777" w:rsidR="00893F86" w:rsidRDefault="00000000">
      <w:pPr>
        <w:spacing w:after="200" w:line="300" w:lineRule="auto"/>
      </w:pPr>
      <w:r>
        <w:rPr>
          <w:color w:val="222222"/>
          <w:sz w:val="22"/>
          <w:szCs w:val="22"/>
        </w:rPr>
        <w:t>Dental biofilm is a highly organized microbial community whose structure and resilience can limit the effectiveness of mechanical instrumentation alone. This full-day course examines biofilm development, dysbiosis, host response, and the evidence supporting contemporary mechanical and chemotherapeutic approaches to biofilm management.</w:t>
      </w:r>
    </w:p>
    <w:p w14:paraId="1AE7AF33" w14:textId="77777777" w:rsidR="00893F86" w:rsidRDefault="00000000">
      <w:pPr>
        <w:spacing w:after="200" w:line="300" w:lineRule="auto"/>
      </w:pPr>
      <w:r>
        <w:rPr>
          <w:color w:val="222222"/>
          <w:sz w:val="22"/>
          <w:szCs w:val="22"/>
        </w:rPr>
        <w:t>The morning lecture establishes the scientific foundation for understanding why biofilm persists and how adjunctive therapies may support nonsurgical periodontal treatment. During the afternoon session, participants will translate the evidence into clinical practice through guided hands-on exercises, case-based discussion, patient communication activities, and workflow planning.</w:t>
      </w:r>
    </w:p>
    <w:p w14:paraId="4538E65C" w14:textId="77777777" w:rsidR="00893F86" w:rsidRDefault="00000000">
      <w:pPr>
        <w:spacing w:before="160" w:after="120"/>
      </w:pPr>
      <w:r>
        <w:rPr>
          <w:b/>
          <w:bCs/>
          <w:color w:val="222222"/>
          <w:sz w:val="22"/>
          <w:szCs w:val="22"/>
        </w:rPr>
        <w:t>Objectives:</w:t>
      </w:r>
    </w:p>
    <w:p w14:paraId="32EA1F0E" w14:textId="77777777" w:rsidR="00893F86" w:rsidRDefault="00000000">
      <w:pPr>
        <w:spacing w:after="200" w:line="300" w:lineRule="auto"/>
      </w:pPr>
      <w:r>
        <w:rPr>
          <w:color w:val="222222"/>
          <w:sz w:val="22"/>
          <w:szCs w:val="22"/>
        </w:rPr>
        <w:t>Describe how dental biofilm develops, matures, and contributes to periodontal inflammation.</w:t>
      </w:r>
    </w:p>
    <w:p w14:paraId="5AB62870" w14:textId="77777777" w:rsidR="00893F86" w:rsidRDefault="00000000">
      <w:pPr>
        <w:spacing w:after="200" w:line="300" w:lineRule="auto"/>
      </w:pPr>
      <w:r>
        <w:rPr>
          <w:color w:val="222222"/>
          <w:sz w:val="22"/>
          <w:szCs w:val="22"/>
        </w:rPr>
        <w:t>Compare the mechanisms, evidence, benefits, and limitations of mechanical and chemotherapeutic approaches to biofilm management.</w:t>
      </w:r>
    </w:p>
    <w:p w14:paraId="193A2E0D" w14:textId="77777777" w:rsidR="00893F86" w:rsidRDefault="00000000">
      <w:pPr>
        <w:spacing w:after="200" w:line="300" w:lineRule="auto"/>
      </w:pPr>
      <w:r>
        <w:rPr>
          <w:color w:val="222222"/>
          <w:sz w:val="22"/>
          <w:szCs w:val="22"/>
        </w:rPr>
        <w:t>Identify clinical situations in which adjunctive biofilm disruption may support nonsurgical periodontal therapy.</w:t>
      </w:r>
    </w:p>
    <w:p w14:paraId="680568A2" w14:textId="77777777" w:rsidR="00893F86" w:rsidRDefault="00000000">
      <w:pPr>
        <w:spacing w:after="200" w:line="300" w:lineRule="auto"/>
      </w:pPr>
      <w:r>
        <w:rPr>
          <w:color w:val="222222"/>
          <w:sz w:val="22"/>
          <w:szCs w:val="22"/>
        </w:rPr>
        <w:t>Evaluate desiccation therapy using available evidence, patient findings, case-selection criteria, and its relationship to other biofilm-management technologies.</w:t>
      </w:r>
    </w:p>
    <w:p w14:paraId="328C0CBB" w14:textId="77777777" w:rsidR="00893F86" w:rsidRDefault="00000000">
      <w:pPr>
        <w:spacing w:after="200" w:line="300" w:lineRule="auto"/>
      </w:pPr>
      <w:r>
        <w:rPr>
          <w:color w:val="222222"/>
          <w:sz w:val="22"/>
          <w:szCs w:val="22"/>
        </w:rPr>
        <w:t>Demonstrate the recommended application technique and develop an efficient chairside workflow for clinical integration.</w:t>
      </w:r>
    </w:p>
    <w:p w14:paraId="41D141C4" w14:textId="77777777" w:rsidR="00893F86" w:rsidRDefault="00000000">
      <w:pPr>
        <w:spacing w:after="200" w:line="300" w:lineRule="auto"/>
      </w:pPr>
      <w:r>
        <w:rPr>
          <w:color w:val="222222"/>
          <w:sz w:val="22"/>
          <w:szCs w:val="22"/>
        </w:rPr>
        <w:t>Communicate the rationale, potential benefits, and limitations of adjunctive biofilm therapy to patients, dentists, and dental team members clearly and ethically.</w:t>
      </w:r>
    </w:p>
    <w:sectPr w:rsidR="00893F8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24703"/>
    <w:multiLevelType w:val="hybridMultilevel"/>
    <w:tmpl w:val="E2E06160"/>
    <w:lvl w:ilvl="0" w:tplc="095C8C78">
      <w:start w:val="1"/>
      <w:numFmt w:val="bullet"/>
      <w:lvlText w:val="●"/>
      <w:lvlJc w:val="left"/>
      <w:pPr>
        <w:ind w:left="720" w:hanging="360"/>
      </w:pPr>
    </w:lvl>
    <w:lvl w:ilvl="1" w:tplc="77081182">
      <w:start w:val="1"/>
      <w:numFmt w:val="bullet"/>
      <w:lvlText w:val="○"/>
      <w:lvlJc w:val="left"/>
      <w:pPr>
        <w:ind w:left="1440" w:hanging="360"/>
      </w:pPr>
    </w:lvl>
    <w:lvl w:ilvl="2" w:tplc="08E23438">
      <w:start w:val="1"/>
      <w:numFmt w:val="bullet"/>
      <w:lvlText w:val="■"/>
      <w:lvlJc w:val="left"/>
      <w:pPr>
        <w:ind w:left="2160" w:hanging="360"/>
      </w:pPr>
    </w:lvl>
    <w:lvl w:ilvl="3" w:tplc="ACF26D54">
      <w:start w:val="1"/>
      <w:numFmt w:val="bullet"/>
      <w:lvlText w:val="●"/>
      <w:lvlJc w:val="left"/>
      <w:pPr>
        <w:ind w:left="2880" w:hanging="360"/>
      </w:pPr>
    </w:lvl>
    <w:lvl w:ilvl="4" w:tplc="C9B487CA">
      <w:start w:val="1"/>
      <w:numFmt w:val="bullet"/>
      <w:lvlText w:val="○"/>
      <w:lvlJc w:val="left"/>
      <w:pPr>
        <w:ind w:left="3600" w:hanging="360"/>
      </w:pPr>
    </w:lvl>
    <w:lvl w:ilvl="5" w:tplc="E75EBD36">
      <w:start w:val="1"/>
      <w:numFmt w:val="bullet"/>
      <w:lvlText w:val="■"/>
      <w:lvlJc w:val="left"/>
      <w:pPr>
        <w:ind w:left="4320" w:hanging="360"/>
      </w:pPr>
    </w:lvl>
    <w:lvl w:ilvl="6" w:tplc="6C323974">
      <w:start w:val="1"/>
      <w:numFmt w:val="bullet"/>
      <w:lvlText w:val="●"/>
      <w:lvlJc w:val="left"/>
      <w:pPr>
        <w:ind w:left="5040" w:hanging="360"/>
      </w:pPr>
    </w:lvl>
    <w:lvl w:ilvl="7" w:tplc="8102CF00">
      <w:start w:val="1"/>
      <w:numFmt w:val="bullet"/>
      <w:lvlText w:val="●"/>
      <w:lvlJc w:val="left"/>
      <w:pPr>
        <w:ind w:left="5760" w:hanging="360"/>
      </w:pPr>
    </w:lvl>
    <w:lvl w:ilvl="8" w:tplc="AF722A9E">
      <w:start w:val="1"/>
      <w:numFmt w:val="bullet"/>
      <w:lvlText w:val="●"/>
      <w:lvlJc w:val="left"/>
      <w:pPr>
        <w:ind w:left="6480" w:hanging="360"/>
      </w:pPr>
    </w:lvl>
  </w:abstractNum>
  <w:num w:numId="1" w16cid:durableId="18941969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86"/>
    <w:rsid w:val="000C0F88"/>
    <w:rsid w:val="00893F86"/>
    <w:rsid w:val="00DF4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3612DF"/>
  <w15:docId w15:val="{FF1ACBFD-4750-2546-A465-E7DEE609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1422</Characters>
  <Application>Microsoft Office Word</Application>
  <DocSecurity>0</DocSecurity>
  <Lines>24</Lines>
  <Paragraphs>13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Nicole Fortune</cp:lastModifiedBy>
  <cp:revision>2</cp:revision>
  <dcterms:created xsi:type="dcterms:W3CDTF">2026-07-01T15:48:00Z</dcterms:created>
  <dcterms:modified xsi:type="dcterms:W3CDTF">2026-07-01T15:48:00Z</dcterms:modified>
</cp:coreProperties>
</file>